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296D" w:rsidRPr="002E296D" w:rsidRDefault="00D910C6" w:rsidP="002E296D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24DE6F1" wp14:editId="31A1A1CA">
            <wp:simplePos x="0" y="0"/>
            <wp:positionH relativeFrom="column">
              <wp:posOffset>4076700</wp:posOffset>
            </wp:positionH>
            <wp:positionV relativeFrom="paragraph">
              <wp:posOffset>-180975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296D">
        <w:rPr>
          <w:rFonts w:ascii="Segoe UI Semibold" w:hAnsi="Segoe UI Semibold"/>
          <w:sz w:val="32"/>
          <w:szCs w:val="32"/>
        </w:rPr>
        <w:t>Microsoft Excel 201</w:t>
      </w:r>
      <w:r w:rsidR="00A37482">
        <w:rPr>
          <w:rFonts w:ascii="Segoe UI Semibold" w:hAnsi="Segoe UI Semibold"/>
          <w:sz w:val="32"/>
          <w:szCs w:val="32"/>
        </w:rPr>
        <w:t>3</w:t>
      </w:r>
      <w:r w:rsidR="002E296D">
        <w:rPr>
          <w:rFonts w:ascii="Segoe UI Semibold" w:hAnsi="Segoe UI Semibold"/>
          <w:sz w:val="32"/>
          <w:szCs w:val="32"/>
        </w:rPr>
        <w:t xml:space="preserve">: Advanced Topics </w:t>
      </w:r>
      <w:r w:rsidR="002E296D" w:rsidRPr="002E296D">
        <w:rPr>
          <w:rFonts w:ascii="Segoe UI Semibold" w:hAnsi="Segoe UI Semibold"/>
          <w:sz w:val="32"/>
          <w:szCs w:val="32"/>
        </w:rPr>
        <w:t xml:space="preserve"> </w:t>
      </w:r>
    </w:p>
    <w:p w:rsidR="00B2151F" w:rsidRDefault="00B2151F">
      <w:pPr>
        <w:rPr>
          <w:sz w:val="24"/>
        </w:rPr>
      </w:pPr>
    </w:p>
    <w:p w:rsidR="002E296D" w:rsidRPr="00F17B1F" w:rsidRDefault="00F17B1F" w:rsidP="00B2151F">
      <w:pPr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>Common Functions</w:t>
      </w:r>
    </w:p>
    <w:tbl>
      <w:tblPr>
        <w:tblW w:w="97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40"/>
        <w:gridCol w:w="7595"/>
      </w:tblGrid>
      <w:tr w:rsidR="002E296D" w:rsidRPr="00B2151F" w:rsidTr="009229AA">
        <w:trPr>
          <w:trHeight w:val="20"/>
          <w:jc w:val="center"/>
        </w:trPr>
        <w:tc>
          <w:tcPr>
            <w:tcW w:w="9735" w:type="dxa"/>
            <w:gridSpan w:val="2"/>
            <w:shd w:val="clear" w:color="auto" w:fill="C0C0C0"/>
            <w:noWrap/>
            <w:vAlign w:val="bottom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b/>
                <w:bCs/>
                <w:i/>
                <w:iCs/>
                <w:sz w:val="24"/>
              </w:rPr>
            </w:pPr>
            <w:r w:rsidRPr="00B2151F">
              <w:rPr>
                <w:rFonts w:eastAsia="Times New Roman" w:cs="Segoe UI"/>
                <w:b/>
                <w:bCs/>
                <w:i/>
                <w:iCs/>
                <w:sz w:val="24"/>
              </w:rPr>
              <w:t>Date and Time Functions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DATE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 xml:space="preserve">Converts parts of a date (month, day, year) to a complete date 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DATEDIF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Calculates the difference between 2 dates (undocumented in Excel – use Google)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DATEVALUE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Converts a date in the form of text to a serial number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DAY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Converts a serial number to a day of the month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MONTH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Converts a serial number to a month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NETWORKDAYS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Returns the number of whole workdays between two dates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NOW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Returns the serial number of the current date and time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TODAY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Returns the serial number of today's date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WEEKDAY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Converts a serial number to a day of the week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YEAR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Converts a serial number to a year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9735" w:type="dxa"/>
            <w:gridSpan w:val="2"/>
            <w:shd w:val="clear" w:color="auto" w:fill="C0C0C0"/>
            <w:noWrap/>
            <w:vAlign w:val="bottom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b/>
                <w:bCs/>
                <w:i/>
                <w:iCs/>
                <w:sz w:val="24"/>
              </w:rPr>
            </w:pPr>
            <w:r w:rsidRPr="00B2151F">
              <w:rPr>
                <w:rFonts w:eastAsia="Times New Roman" w:cs="Segoe UI"/>
                <w:b/>
                <w:bCs/>
                <w:i/>
                <w:iCs/>
                <w:sz w:val="24"/>
              </w:rPr>
              <w:t>Financial Functions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bCs/>
                <w:sz w:val="24"/>
              </w:rPr>
              <w:t>NPV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Returns the net present value of an investment based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bCs/>
                <w:sz w:val="24"/>
              </w:rPr>
              <w:t>PMT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Returns the periodic payment for an annuity</w:t>
            </w:r>
          </w:p>
        </w:tc>
      </w:tr>
      <w:tr w:rsidR="002E296D" w:rsidRPr="00B2151F" w:rsidTr="00B2151F">
        <w:trPr>
          <w:trHeight w:val="20"/>
          <w:jc w:val="center"/>
        </w:trPr>
        <w:tc>
          <w:tcPr>
            <w:tcW w:w="2140" w:type="dxa"/>
            <w:tcBorders>
              <w:bottom w:val="single" w:sz="4" w:space="0" w:color="auto"/>
            </w:tcBorders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bCs/>
                <w:sz w:val="24"/>
              </w:rPr>
              <w:t>PV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Returns the present value of an investment</w:t>
            </w:r>
          </w:p>
        </w:tc>
      </w:tr>
      <w:tr w:rsidR="002E296D" w:rsidRPr="00B2151F" w:rsidTr="00B2151F">
        <w:trPr>
          <w:trHeight w:val="20"/>
          <w:jc w:val="center"/>
        </w:trPr>
        <w:tc>
          <w:tcPr>
            <w:tcW w:w="2140" w:type="dxa"/>
            <w:tcBorders>
              <w:right w:val="nil"/>
            </w:tcBorders>
            <w:shd w:val="clear" w:color="auto" w:fill="C0C0C0"/>
            <w:noWrap/>
            <w:vAlign w:val="bottom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b/>
                <w:bCs/>
                <w:i/>
                <w:iCs/>
                <w:sz w:val="24"/>
              </w:rPr>
            </w:pPr>
            <w:r w:rsidRPr="00B2151F">
              <w:rPr>
                <w:rFonts w:eastAsia="Times New Roman" w:cs="Segoe UI"/>
                <w:b/>
                <w:bCs/>
                <w:i/>
                <w:iCs/>
                <w:sz w:val="24"/>
              </w:rPr>
              <w:t>Logical Functions</w:t>
            </w:r>
          </w:p>
        </w:tc>
        <w:tc>
          <w:tcPr>
            <w:tcW w:w="7595" w:type="dxa"/>
            <w:tcBorders>
              <w:left w:val="nil"/>
            </w:tcBorders>
            <w:shd w:val="clear" w:color="auto" w:fill="C0C0C0"/>
            <w:noWrap/>
            <w:vAlign w:val="bottom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 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bCs/>
                <w:sz w:val="24"/>
              </w:rPr>
              <w:t>AND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bCs/>
                <w:sz w:val="24"/>
              </w:rPr>
              <w:t>Returns TRUE if all of its arguments are TRUE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bCs/>
                <w:sz w:val="24"/>
              </w:rPr>
              <w:t>IF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bCs/>
                <w:sz w:val="24"/>
              </w:rPr>
              <w:t>Specifies a logical test to perform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bCs/>
                <w:sz w:val="24"/>
              </w:rPr>
              <w:t>NOT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bCs/>
                <w:sz w:val="24"/>
              </w:rPr>
              <w:t>Reverses the logic of its argument</w:t>
            </w:r>
          </w:p>
        </w:tc>
      </w:tr>
      <w:tr w:rsidR="002E296D" w:rsidRPr="00B2151F" w:rsidTr="00B2151F">
        <w:trPr>
          <w:trHeight w:val="20"/>
          <w:jc w:val="center"/>
        </w:trPr>
        <w:tc>
          <w:tcPr>
            <w:tcW w:w="2140" w:type="dxa"/>
            <w:tcBorders>
              <w:bottom w:val="single" w:sz="4" w:space="0" w:color="auto"/>
            </w:tcBorders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bCs/>
                <w:sz w:val="24"/>
              </w:rPr>
              <w:t>OR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bCs/>
                <w:sz w:val="24"/>
              </w:rPr>
              <w:t>Returns TRUE if any argument is TRUE</w:t>
            </w:r>
          </w:p>
        </w:tc>
      </w:tr>
      <w:tr w:rsidR="002E296D" w:rsidRPr="00B2151F" w:rsidTr="00B2151F">
        <w:trPr>
          <w:trHeight w:val="20"/>
          <w:jc w:val="center"/>
        </w:trPr>
        <w:tc>
          <w:tcPr>
            <w:tcW w:w="2140" w:type="dxa"/>
            <w:tcBorders>
              <w:right w:val="nil"/>
            </w:tcBorders>
            <w:shd w:val="clear" w:color="auto" w:fill="C0C0C0"/>
            <w:noWrap/>
            <w:vAlign w:val="bottom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b/>
                <w:bCs/>
                <w:i/>
                <w:iCs/>
                <w:sz w:val="24"/>
              </w:rPr>
            </w:pPr>
            <w:r w:rsidRPr="00B2151F">
              <w:rPr>
                <w:rFonts w:eastAsia="Times New Roman" w:cs="Segoe UI"/>
                <w:b/>
                <w:bCs/>
                <w:i/>
                <w:iCs/>
                <w:sz w:val="24"/>
              </w:rPr>
              <w:t>Text Functions</w:t>
            </w:r>
          </w:p>
        </w:tc>
        <w:tc>
          <w:tcPr>
            <w:tcW w:w="7595" w:type="dxa"/>
            <w:tcBorders>
              <w:left w:val="nil"/>
            </w:tcBorders>
            <w:shd w:val="clear" w:color="auto" w:fill="C0C0C0"/>
            <w:noWrap/>
            <w:vAlign w:val="bottom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 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LEFT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Returns the leftmost characters from a text value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LEN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Returns the number of characters in a text string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LOWER</w:t>
            </w:r>
          </w:p>
        </w:tc>
        <w:tc>
          <w:tcPr>
            <w:tcW w:w="7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Converts text lower case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MID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Returns a specific number of characters from a text string starting at the position you specify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RIGHT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Returns the rightmost characters from a text value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TEXT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Formats a number and converts it to text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TRIM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Removes spaces from text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UPPER</w:t>
            </w:r>
          </w:p>
        </w:tc>
        <w:tc>
          <w:tcPr>
            <w:tcW w:w="7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Converts text to upper case</w:t>
            </w:r>
          </w:p>
        </w:tc>
      </w:tr>
      <w:tr w:rsidR="002E296D" w:rsidRPr="00B2151F" w:rsidTr="00B2151F">
        <w:trPr>
          <w:trHeight w:val="116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B2151F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VALUE</w:t>
            </w:r>
          </w:p>
        </w:tc>
        <w:tc>
          <w:tcPr>
            <w:tcW w:w="7595" w:type="dxa"/>
            <w:shd w:val="clear" w:color="auto" w:fill="auto"/>
          </w:tcPr>
          <w:p w:rsidR="00B2151F" w:rsidRPr="00B2151F" w:rsidRDefault="002E296D" w:rsidP="00B2151F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Converts a text argu</w:t>
            </w:r>
            <w:bookmarkStart w:id="0" w:name="_GoBack"/>
            <w:bookmarkEnd w:id="0"/>
            <w:r w:rsidRPr="00B2151F">
              <w:rPr>
                <w:rFonts w:eastAsia="Times New Roman" w:cs="Segoe UI"/>
                <w:sz w:val="24"/>
              </w:rPr>
              <w:t>ment to a number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9735" w:type="dxa"/>
            <w:gridSpan w:val="2"/>
            <w:shd w:val="clear" w:color="auto" w:fill="C0C0C0"/>
            <w:noWrap/>
            <w:vAlign w:val="bottom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b/>
                <w:bCs/>
                <w:i/>
                <w:iCs/>
                <w:sz w:val="24"/>
              </w:rPr>
            </w:pPr>
            <w:r w:rsidRPr="00B2151F">
              <w:rPr>
                <w:rFonts w:eastAsia="Times New Roman" w:cs="Segoe UI"/>
                <w:b/>
                <w:bCs/>
                <w:i/>
                <w:iCs/>
                <w:sz w:val="24"/>
              </w:rPr>
              <w:lastRenderedPageBreak/>
              <w:t>Lookup Functions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HLOOKUP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Looks in the top row of an array and returns the value of the indicated cell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VLOOKUP</w:t>
            </w:r>
          </w:p>
        </w:tc>
        <w:tc>
          <w:tcPr>
            <w:tcW w:w="7595" w:type="dxa"/>
            <w:shd w:val="clear" w:color="auto" w:fill="auto"/>
          </w:tcPr>
          <w:p w:rsidR="00B2151F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 xml:space="preserve">Looks in the first column of an array and moves across the row to return a value 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9735" w:type="dxa"/>
            <w:gridSpan w:val="2"/>
            <w:shd w:val="clear" w:color="auto" w:fill="C0C0C0"/>
            <w:noWrap/>
            <w:vAlign w:val="bottom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b/>
                <w:bCs/>
                <w:i/>
                <w:iCs/>
                <w:sz w:val="24"/>
              </w:rPr>
            </w:pPr>
            <w:r w:rsidRPr="00B2151F">
              <w:rPr>
                <w:rFonts w:eastAsia="Times New Roman" w:cs="Segoe UI"/>
                <w:b/>
                <w:bCs/>
                <w:i/>
                <w:iCs/>
                <w:sz w:val="24"/>
              </w:rPr>
              <w:t>Math Functions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ROUND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Rounds a number to a specified number of digits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ROUNDDOWN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Rounds a number down, toward zero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ROUNDUP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Rounds a number up, away from zero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SUM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Adds its arguments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SUMIF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Adds the cells specified by a given criteria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9735" w:type="dxa"/>
            <w:gridSpan w:val="2"/>
            <w:shd w:val="clear" w:color="auto" w:fill="C0C0C0"/>
            <w:noWrap/>
            <w:vAlign w:val="bottom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b/>
                <w:bCs/>
                <w:i/>
                <w:iCs/>
                <w:sz w:val="24"/>
              </w:rPr>
            </w:pPr>
            <w:r w:rsidRPr="00B2151F">
              <w:rPr>
                <w:rFonts w:eastAsia="Times New Roman" w:cs="Segoe UI"/>
                <w:b/>
                <w:bCs/>
                <w:i/>
                <w:iCs/>
                <w:sz w:val="24"/>
              </w:rPr>
              <w:t>Statistical Functions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AVERAGE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Returns the average of its arguments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COUNT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Counts how many numbers are in the list of arguments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COUNTA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Counts how many values are in the list of arguments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COUNTIF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Counts the number of nonblank cells within a range that meet the given criteria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MAX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Returns the maximum value in a list of arguments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MIN</w:t>
            </w:r>
          </w:p>
        </w:tc>
        <w:tc>
          <w:tcPr>
            <w:tcW w:w="7595" w:type="dxa"/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Returns the minimum value in a list of arguments</w:t>
            </w:r>
          </w:p>
        </w:tc>
      </w:tr>
      <w:tr w:rsidR="002E296D" w:rsidRPr="00B2151F" w:rsidTr="009229AA">
        <w:trPr>
          <w:trHeight w:val="20"/>
          <w:jc w:val="center"/>
        </w:trPr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STDEV.S</w:t>
            </w:r>
          </w:p>
        </w:tc>
        <w:tc>
          <w:tcPr>
            <w:tcW w:w="7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96D" w:rsidRPr="00B2151F" w:rsidRDefault="002E296D" w:rsidP="009229AA">
            <w:pPr>
              <w:spacing w:line="240" w:lineRule="auto"/>
              <w:rPr>
                <w:rFonts w:eastAsia="Times New Roman" w:cs="Segoe UI"/>
                <w:sz w:val="24"/>
              </w:rPr>
            </w:pPr>
            <w:r w:rsidRPr="00B2151F">
              <w:rPr>
                <w:rFonts w:eastAsia="Times New Roman" w:cs="Segoe UI"/>
                <w:sz w:val="24"/>
              </w:rPr>
              <w:t>Estimates standard deviation based on a sample</w:t>
            </w:r>
          </w:p>
        </w:tc>
      </w:tr>
    </w:tbl>
    <w:p w:rsidR="008B7E22" w:rsidRDefault="008B7E22" w:rsidP="00A37482"/>
    <w:sectPr w:rsidR="008B7E22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4EAA" w:rsidRDefault="00AE4EAA" w:rsidP="002E296D">
      <w:pPr>
        <w:spacing w:line="240" w:lineRule="auto"/>
      </w:pPr>
      <w:r>
        <w:separator/>
      </w:r>
    </w:p>
  </w:endnote>
  <w:endnote w:type="continuationSeparator" w:id="0">
    <w:p w:rsidR="00AE4EAA" w:rsidRDefault="00AE4EAA" w:rsidP="002E296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296D" w:rsidRPr="00D910C6" w:rsidRDefault="00D910C6" w:rsidP="00D910C6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7982172"/>
    <w:bookmarkStart w:id="2" w:name="_Hlk497982173"/>
    <w:bookmarkStart w:id="3" w:name="_Hlk497982276"/>
    <w:bookmarkStart w:id="4" w:name="_Hlk497982277"/>
    <w:bookmarkStart w:id="5" w:name="_Hlk497986263"/>
    <w:bookmarkStart w:id="6" w:name="_Hlk497986264"/>
    <w:bookmarkStart w:id="7" w:name="_Hlk497986333"/>
    <w:bookmarkStart w:id="8" w:name="_Hlk497986334"/>
    <w:bookmarkStart w:id="9" w:name="_Hlk497986381"/>
    <w:bookmarkStart w:id="10" w:name="_Hlk497986382"/>
    <w:bookmarkStart w:id="11" w:name="_Hlk497990689"/>
    <w:bookmarkStart w:id="12" w:name="_Hlk497990690"/>
    <w:bookmarkStart w:id="13" w:name="_Hlk497990712"/>
    <w:bookmarkStart w:id="14" w:name="_Hlk497990713"/>
    <w:bookmarkStart w:id="15" w:name="_Hlk497990848"/>
    <w:bookmarkStart w:id="16" w:name="_Hlk497990849"/>
    <w:bookmarkStart w:id="17" w:name="_Hlk497990875"/>
    <w:bookmarkStart w:id="18" w:name="_Hlk497990876"/>
    <w:bookmarkStart w:id="19" w:name="_Hlk497990992"/>
    <w:bookmarkStart w:id="20" w:name="_Hlk497990993"/>
    <w:bookmarkStart w:id="21" w:name="_Hlk497991155"/>
    <w:bookmarkStart w:id="22" w:name="_Hlk497991156"/>
    <w:bookmarkStart w:id="23" w:name="_Hlk497991286"/>
    <w:bookmarkStart w:id="24" w:name="_Hlk497991287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r w:rsidR="002E296D" w:rsidRPr="002E296D">
      <w:rPr>
        <w:sz w:val="18"/>
      </w:rPr>
      <w:ptab w:relativeTo="margin" w:alignment="right" w:leader="none"/>
    </w:r>
    <w:r w:rsidR="00EE02AA">
      <w:rPr>
        <w:sz w:val="18"/>
      </w:rPr>
      <w:t>11</w:t>
    </w:r>
    <w:r w:rsidR="002E296D">
      <w:rPr>
        <w:sz w:val="18"/>
      </w:rPr>
      <w:t>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4EAA" w:rsidRDefault="00AE4EAA" w:rsidP="002E296D">
      <w:pPr>
        <w:spacing w:line="240" w:lineRule="auto"/>
      </w:pPr>
      <w:r>
        <w:separator/>
      </w:r>
    </w:p>
  </w:footnote>
  <w:footnote w:type="continuationSeparator" w:id="0">
    <w:p w:rsidR="00AE4EAA" w:rsidRDefault="00AE4EAA" w:rsidP="002E296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96D"/>
    <w:rsid w:val="002E296D"/>
    <w:rsid w:val="00331B0A"/>
    <w:rsid w:val="006B3C93"/>
    <w:rsid w:val="008B7E22"/>
    <w:rsid w:val="00A37482"/>
    <w:rsid w:val="00AE4EAA"/>
    <w:rsid w:val="00B2151F"/>
    <w:rsid w:val="00D910C6"/>
    <w:rsid w:val="00EE02AA"/>
    <w:rsid w:val="00F17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7E872E"/>
  <w15:chartTrackingRefBased/>
  <w15:docId w15:val="{583E5E24-49D5-4B95-AA34-AE5944B33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E296D"/>
    <w:pPr>
      <w:spacing w:after="0"/>
    </w:pPr>
    <w:rPr>
      <w:rFonts w:ascii="Segoe UI" w:hAnsi="Segoe U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296D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296D"/>
    <w:rPr>
      <w:rFonts w:ascii="Segoe UI" w:hAnsi="Segoe UI"/>
    </w:rPr>
  </w:style>
  <w:style w:type="paragraph" w:styleId="Footer">
    <w:name w:val="footer"/>
    <w:basedOn w:val="Normal"/>
    <w:link w:val="FooterChar"/>
    <w:unhideWhenUsed/>
    <w:rsid w:val="002E296D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296D"/>
    <w:rPr>
      <w:rFonts w:ascii="Segoe UI" w:hAnsi="Segoe U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2038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Nellie Barrett</cp:lastModifiedBy>
  <cp:revision>2</cp:revision>
  <dcterms:created xsi:type="dcterms:W3CDTF">2017-11-09T17:52:00Z</dcterms:created>
  <dcterms:modified xsi:type="dcterms:W3CDTF">2017-11-09T17:52:00Z</dcterms:modified>
</cp:coreProperties>
</file>